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14B8F" w:rsidP="005D546F">
      <w:pPr>
        <w:widowControl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28575</wp:posOffset>
            </wp:positionH>
            <wp:positionV relativeFrom="paragraph">
              <wp:posOffset>-525780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42958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AA4734" w:rsidP="005D546F">
      <w:pPr>
        <w:widowControl w:val="0"/>
        <w:bidi w:val="0"/>
        <w:jc w:val="center"/>
        <w:outlineLvl w:val="2"/>
        <w:rPr>
          <w:b/>
          <w:bCs/>
        </w:rPr>
      </w:pPr>
      <w:r w:rsidRPr="00AA4734">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August 04, 2021                                                                                                                      No. 447/2021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FE7405">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405ACE" w:rsidR="00014B8F">
        <w:rPr>
          <w:rtl w:val="0"/>
          <w:lang w:val="en"/>
        </w:rPr>
        <w:t>August 09,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2957AE" w:rsidP="002957AE">
      <w:pPr>
        <w:widowControl w:val="0"/>
        <w:tabs>
          <w:tab w:val="left" w:pos="993"/>
          <w:tab w:val="left" w:pos="1134"/>
        </w:tabs>
        <w:autoSpaceDE w:val="0"/>
        <w:autoSpaceDN w:val="0"/>
        <w:adjustRightInd w:val="0"/>
        <w:ind w:firstLine="567"/>
        <w:jc w:val="center"/>
        <w:rPr>
          <w:i/>
        </w:rPr>
      </w:pPr>
    </w:p>
    <w:p w:rsidR="00014B8F" w:rsidRPr="00014B8F" w:rsidP="00014B8F">
      <w:pPr>
        <w:pStyle w:val="ListParagraph"/>
        <w:widowControl w:val="0"/>
        <w:numPr>
          <w:ilvl w:val="0"/>
          <w:numId w:val="37"/>
        </w:numPr>
        <w:tabs>
          <w:tab w:val="left" w:pos="1134"/>
        </w:tabs>
        <w:suppressAutoHyphens/>
        <w:bidi w:val="0"/>
        <w:spacing w:after="0" w:line="240" w:lineRule="auto"/>
        <w:ind w:left="0" w:firstLine="567"/>
        <w:jc w:val="both"/>
        <w:rPr>
          <w:rFonts w:ascii="Times New Roman" w:hAnsi="Times New Roman"/>
          <w:i/>
          <w:sz w:val="24"/>
          <w:szCs w:val="24"/>
        </w:rPr>
      </w:pPr>
      <w:r w:rsidRPr="00014B8F">
        <w:rPr>
          <w:rFonts w:ascii="Times New Roman" w:hAnsi="Times New Roman"/>
          <w:i/>
          <w:sz w:val="24"/>
          <w:szCs w:val="24"/>
          <w:rtl w:val="0"/>
          <w:lang w:val="en"/>
        </w:rPr>
        <w:t>On consideration of proposals from the Company's shareholders to nominate candidates to the Company's Board of Directors.</w:t>
      </w:r>
    </w:p>
    <w:p w:rsidR="00014B8F" w:rsidRPr="00014B8F" w:rsidP="00014B8F">
      <w:pPr>
        <w:pStyle w:val="ListParagraph"/>
        <w:widowControl w:val="0"/>
        <w:numPr>
          <w:ilvl w:val="0"/>
          <w:numId w:val="37"/>
        </w:numPr>
        <w:tabs>
          <w:tab w:val="left" w:pos="1134"/>
        </w:tabs>
        <w:suppressAutoHyphens/>
        <w:bidi w:val="0"/>
        <w:spacing w:after="0" w:line="240" w:lineRule="auto"/>
        <w:ind w:left="0" w:firstLine="567"/>
        <w:jc w:val="both"/>
        <w:rPr>
          <w:rFonts w:ascii="Times New Roman" w:hAnsi="Times New Roman"/>
          <w:i/>
          <w:snapToGrid w:val="0"/>
          <w:sz w:val="24"/>
          <w:szCs w:val="24"/>
        </w:rPr>
      </w:pPr>
      <w:r w:rsidRPr="00014B8F">
        <w:rPr>
          <w:rFonts w:ascii="Times New Roman" w:hAnsi="Times New Roman"/>
          <w:i/>
          <w:snapToGrid w:val="0"/>
          <w:sz w:val="24"/>
          <w:szCs w:val="24"/>
          <w:rtl w:val="0"/>
          <w:lang w:val="en"/>
        </w:rPr>
        <w:t>On approval of the form and text of voting ballots at the Extraordinary General Meeting of Shareholders of the Company, as well as the wording of resolutions on agenda items of the Extraordinary General Meeting of Shareholders, which shall be sent in electronic form (in the form of electronic documents) to nominee shareholders registered in the register of shareholders of the Company.</w:t>
      </w:r>
    </w:p>
    <w:p w:rsidR="00014B8F" w:rsidRPr="00014B8F" w:rsidP="00014B8F">
      <w:pPr>
        <w:pStyle w:val="ListParagraph"/>
        <w:widowControl w:val="0"/>
        <w:numPr>
          <w:ilvl w:val="0"/>
          <w:numId w:val="37"/>
        </w:numPr>
        <w:tabs>
          <w:tab w:val="left" w:pos="1134"/>
        </w:tabs>
        <w:suppressAutoHyphens/>
        <w:bidi w:val="0"/>
        <w:spacing w:after="0" w:line="240" w:lineRule="auto"/>
        <w:ind w:left="0" w:firstLine="567"/>
        <w:jc w:val="both"/>
        <w:rPr>
          <w:rFonts w:ascii="Times New Roman" w:hAnsi="Times New Roman"/>
          <w:i/>
          <w:snapToGrid w:val="0"/>
          <w:sz w:val="24"/>
          <w:szCs w:val="24"/>
        </w:rPr>
      </w:pPr>
      <w:r w:rsidRPr="00014B8F">
        <w:rPr>
          <w:rFonts w:ascii="Times New Roman" w:hAnsi="Times New Roman"/>
          <w:i/>
          <w:snapToGrid w:val="0"/>
          <w:sz w:val="24"/>
          <w:szCs w:val="24"/>
          <w:rtl w:val="0"/>
          <w:lang w:val="en"/>
        </w:rPr>
        <w:t>On determining the date of sending voting ballots to persons entitled to participate in the Extraordinary General Meeting of Shareholders, the address to which completed voting ballots may be sent, and the deadline for accepting completed ballots.</w:t>
      </w:r>
    </w:p>
    <w:p w:rsidR="00014B8F" w:rsidRPr="00014B8F" w:rsidP="00014B8F">
      <w:pPr>
        <w:pStyle w:val="ListParagraph"/>
        <w:widowControl w:val="0"/>
        <w:numPr>
          <w:ilvl w:val="0"/>
          <w:numId w:val="37"/>
        </w:numPr>
        <w:tabs>
          <w:tab w:val="left" w:pos="1134"/>
        </w:tabs>
        <w:suppressAutoHyphens/>
        <w:bidi w:val="0"/>
        <w:spacing w:after="0" w:line="240" w:lineRule="auto"/>
        <w:ind w:left="0" w:firstLine="567"/>
        <w:jc w:val="both"/>
        <w:rPr>
          <w:rFonts w:ascii="Times New Roman" w:hAnsi="Times New Roman"/>
          <w:i/>
          <w:sz w:val="24"/>
          <w:szCs w:val="24"/>
        </w:rPr>
      </w:pPr>
      <w:r w:rsidRPr="00014B8F">
        <w:rPr>
          <w:rFonts w:ascii="Times New Roman" w:hAnsi="Times New Roman"/>
          <w:i/>
          <w:sz w:val="24"/>
          <w:szCs w:val="24"/>
          <w:rtl w:val="0"/>
          <w:lang w:val="en"/>
        </w:rPr>
        <w:t>On approving the terms and conditions of the contract with the Company's registrar.</w:t>
      </w:r>
    </w:p>
    <w:p w:rsidR="00014B8F" w:rsidRPr="00014B8F" w:rsidP="00014B8F">
      <w:pPr>
        <w:pStyle w:val="ListParagraph"/>
        <w:widowControl w:val="0"/>
        <w:numPr>
          <w:ilvl w:val="0"/>
          <w:numId w:val="37"/>
        </w:numPr>
        <w:tabs>
          <w:tab w:val="left" w:pos="1134"/>
        </w:tabs>
        <w:suppressAutoHyphens/>
        <w:bidi w:val="0"/>
        <w:spacing w:after="0" w:line="240" w:lineRule="auto"/>
        <w:ind w:left="0" w:firstLine="567"/>
        <w:jc w:val="both"/>
        <w:rPr>
          <w:rFonts w:ascii="Times New Roman" w:hAnsi="Times New Roman"/>
          <w:i/>
          <w:sz w:val="24"/>
          <w:szCs w:val="24"/>
        </w:rPr>
      </w:pPr>
      <w:r w:rsidRPr="00014B8F">
        <w:rPr>
          <w:rFonts w:ascii="Times New Roman" w:hAnsi="Times New Roman"/>
          <w:i/>
          <w:sz w:val="24"/>
          <w:szCs w:val="24"/>
          <w:rtl w:val="0"/>
          <w:lang w:val="en"/>
        </w:rPr>
        <w:t>On approval of the cost estimates related to the preparation and holding of the Extraordinary General Meeting of Shareholders of the Company.</w:t>
      </w:r>
    </w:p>
    <w:p w:rsidR="002957AE" w:rsidRPr="00014B8F"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2957AE" w:rsidRPr="00777CB3" w:rsidP="002957AE">
      <w:pPr>
        <w:pStyle w:val="BodyTextIndent2"/>
        <w:widowControl w:val="0"/>
        <w:spacing w:after="0" w:line="240" w:lineRule="auto"/>
        <w:ind w:left="0"/>
        <w:jc w:val="both"/>
        <w:rPr>
          <w:caps/>
        </w:rPr>
      </w:pPr>
    </w:p>
    <w:p w:rsidR="00014B8F" w:rsidRPr="00900C3E" w:rsidP="00014B8F">
      <w:pPr>
        <w:bidi w:val="0"/>
        <w:jc w:val="both"/>
        <w:rPr>
          <w:b/>
          <w:bCs/>
        </w:rPr>
      </w:pPr>
      <w:r w:rsidRPr="00900C3E">
        <w:rPr>
          <w:b/>
          <w:caps/>
          <w:rtl w:val="0"/>
          <w:lang w:val="en"/>
        </w:rPr>
        <w:t xml:space="preserve">Item No. 1: </w:t>
      </w:r>
      <w:r w:rsidRPr="00900C3E">
        <w:rPr>
          <w:b/>
          <w:rtl w:val="0"/>
          <w:lang w:val="en"/>
        </w:rPr>
        <w:t>On consideration of proposals from the Company's shareholders to nominate candidates to the Company's Board of Directors</w:t>
      </w:r>
      <w:r w:rsidRPr="00900C3E">
        <w:rPr>
          <w:b/>
          <w:color w:val="000000" w:themeColor="text1"/>
          <w:rtl w:val="0"/>
          <w:lang w:val="en"/>
        </w:rPr>
        <w:t>.</w:t>
      </w:r>
    </w:p>
    <w:p w:rsidR="00014B8F" w:rsidRPr="00900C3E" w:rsidP="00014B8F">
      <w:pPr>
        <w:bidi w:val="0"/>
        <w:jc w:val="both"/>
        <w:rPr>
          <w:b/>
        </w:rPr>
      </w:pPr>
      <w:r w:rsidRPr="00900C3E">
        <w:rPr>
          <w:b/>
          <w:rtl w:val="0"/>
          <w:lang w:val="en"/>
        </w:rPr>
        <w:t>RESOLUTION:</w:t>
      </w:r>
    </w:p>
    <w:p w:rsidR="00014B8F" w:rsidRPr="00900C3E" w:rsidP="00014B8F">
      <w:pPr>
        <w:pStyle w:val="BodyText"/>
        <w:bidi w:val="0"/>
        <w:ind w:firstLine="567"/>
        <w:jc w:val="both"/>
        <w:rPr>
          <w:b/>
          <w:sz w:val="24"/>
          <w:szCs w:val="24"/>
        </w:rPr>
      </w:pPr>
      <w:r w:rsidRPr="00900C3E">
        <w:rPr>
          <w:sz w:val="24"/>
          <w:szCs w:val="24"/>
          <w:rtl w:val="0"/>
          <w:lang w:val="en"/>
        </w:rPr>
        <w:t>1. Enter the following candidates into the list of candidates for election to the Company's Board of Directors: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2835"/>
        <w:gridCol w:w="2551"/>
        <w:gridCol w:w="1701"/>
      </w:tblGrid>
      <w:tr w:rsidTr="00F55CD8">
        <w:tblPrEx>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426" w:type="dxa"/>
            <w:vAlign w:val="center"/>
          </w:tcPr>
          <w:p w:rsidR="00014B8F" w:rsidRPr="00900C3E" w:rsidP="00F55CD8">
            <w:pPr>
              <w:pStyle w:val="BodyText"/>
              <w:jc w:val="both"/>
              <w:rPr>
                <w:sz w:val="24"/>
                <w:szCs w:val="24"/>
              </w:rPr>
            </w:pPr>
          </w:p>
          <w:p w:rsidR="00014B8F" w:rsidRPr="00900C3E" w:rsidP="00F55CD8">
            <w:pPr>
              <w:pStyle w:val="BodyText"/>
              <w:bidi w:val="0"/>
              <w:jc w:val="both"/>
              <w:rPr>
                <w:sz w:val="24"/>
                <w:szCs w:val="24"/>
              </w:rPr>
            </w:pPr>
            <w:r w:rsidRPr="00900C3E">
              <w:rPr>
                <w:sz w:val="24"/>
                <w:szCs w:val="24"/>
                <w:rtl w:val="0"/>
                <w:lang w:val="en"/>
              </w:rPr>
              <w:t>No.</w:t>
            </w:r>
          </w:p>
        </w:tc>
        <w:tc>
          <w:tcPr>
            <w:tcW w:w="2410" w:type="dxa"/>
            <w:vAlign w:val="center"/>
          </w:tcPr>
          <w:p w:rsidR="00014B8F" w:rsidRPr="00900C3E" w:rsidP="00F55CD8">
            <w:pPr>
              <w:pStyle w:val="BodyText"/>
              <w:bidi w:val="0"/>
              <w:rPr>
                <w:sz w:val="24"/>
                <w:szCs w:val="24"/>
              </w:rPr>
            </w:pPr>
            <w:r w:rsidRPr="00900C3E">
              <w:rPr>
                <w:sz w:val="24"/>
                <w:szCs w:val="24"/>
                <w:rtl w:val="0"/>
                <w:lang w:val="en"/>
              </w:rPr>
              <w:t>The candidate proposed by a shareholder(s) for entering into the list for voting on elections to the Company's Board of Directors</w:t>
            </w:r>
          </w:p>
        </w:tc>
        <w:tc>
          <w:tcPr>
            <w:tcW w:w="2835" w:type="dxa"/>
            <w:vAlign w:val="center"/>
          </w:tcPr>
          <w:p w:rsidR="00014B8F" w:rsidRPr="00900C3E" w:rsidP="00F55CD8">
            <w:pPr>
              <w:pStyle w:val="BodyText"/>
              <w:tabs>
                <w:tab w:val="right" w:pos="4035"/>
              </w:tabs>
              <w:bidi w:val="0"/>
              <w:rPr>
                <w:sz w:val="24"/>
                <w:szCs w:val="24"/>
              </w:rPr>
            </w:pPr>
            <w:r w:rsidRPr="00900C3E">
              <w:rPr>
                <w:sz w:val="24"/>
                <w:szCs w:val="24"/>
                <w:rtl w:val="0"/>
                <w:lang w:val="en"/>
              </w:rPr>
              <w:t>Title and place of employment of the candidate</w:t>
            </w:r>
          </w:p>
          <w:p w:rsidR="00014B8F" w:rsidRPr="00900C3E" w:rsidP="00F55CD8">
            <w:pPr>
              <w:pStyle w:val="BodyText"/>
              <w:tabs>
                <w:tab w:val="right" w:pos="4035"/>
              </w:tabs>
              <w:bidi w:val="0"/>
              <w:rPr>
                <w:sz w:val="24"/>
                <w:szCs w:val="24"/>
              </w:rPr>
            </w:pPr>
            <w:r w:rsidRPr="00900C3E">
              <w:rPr>
                <w:sz w:val="24"/>
                <w:szCs w:val="24"/>
                <w:rtl w:val="0"/>
                <w:lang w:val="en"/>
              </w:rPr>
              <w:t xml:space="preserve"> proposed</w:t>
            </w:r>
          </w:p>
          <w:p w:rsidR="00014B8F" w:rsidRPr="00900C3E" w:rsidP="00F55CD8">
            <w:pPr>
              <w:pStyle w:val="BodyText"/>
              <w:tabs>
                <w:tab w:val="right" w:pos="4035"/>
              </w:tabs>
              <w:bidi w:val="0"/>
              <w:rPr>
                <w:sz w:val="24"/>
                <w:szCs w:val="24"/>
              </w:rPr>
            </w:pPr>
            <w:r w:rsidRPr="00900C3E">
              <w:rPr>
                <w:sz w:val="24"/>
                <w:szCs w:val="24"/>
                <w:rtl w:val="0"/>
                <w:lang w:val="en"/>
              </w:rPr>
              <w:t xml:space="preserve"> proposed by a shareholder(s) for entering into the list for voting on elections to the Company's Board of Directors</w:t>
            </w:r>
          </w:p>
        </w:tc>
        <w:tc>
          <w:tcPr>
            <w:tcW w:w="2551" w:type="dxa"/>
            <w:vAlign w:val="center"/>
          </w:tcPr>
          <w:p w:rsidR="00014B8F" w:rsidRPr="00900C3E" w:rsidP="00F55CD8">
            <w:pPr>
              <w:pStyle w:val="BodyText"/>
              <w:tabs>
                <w:tab w:val="right" w:pos="4035"/>
              </w:tabs>
              <w:bidi w:val="0"/>
              <w:rPr>
                <w:sz w:val="24"/>
                <w:szCs w:val="24"/>
              </w:rPr>
            </w:pPr>
            <w:r w:rsidRPr="00900C3E">
              <w:rPr>
                <w:sz w:val="24"/>
                <w:szCs w:val="24"/>
                <w:rtl w:val="0"/>
                <w:lang w:val="en"/>
              </w:rPr>
              <w:t xml:space="preserve">Full name / </w:t>
            </w:r>
          </w:p>
          <w:p w:rsidR="00014B8F" w:rsidRPr="00900C3E" w:rsidP="00F55CD8">
            <w:pPr>
              <w:pStyle w:val="BodyText"/>
              <w:tabs>
                <w:tab w:val="right" w:pos="4035"/>
              </w:tabs>
              <w:bidi w:val="0"/>
              <w:rPr>
                <w:sz w:val="24"/>
                <w:szCs w:val="24"/>
              </w:rPr>
            </w:pPr>
            <w:r w:rsidRPr="00900C3E">
              <w:rPr>
                <w:sz w:val="24"/>
                <w:szCs w:val="24"/>
                <w:rtl w:val="0"/>
                <w:lang w:val="en"/>
              </w:rPr>
              <w:t>name of the shareholder(s) who proposed the candidate to be entered into the list for voting on elections to the Company's Board of Directors</w:t>
            </w:r>
          </w:p>
        </w:tc>
        <w:tc>
          <w:tcPr>
            <w:tcW w:w="1701" w:type="dxa"/>
            <w:vAlign w:val="center"/>
          </w:tcPr>
          <w:p w:rsidR="00014B8F" w:rsidRPr="00900C3E" w:rsidP="00F55CD8">
            <w:pPr>
              <w:pStyle w:val="BodyText"/>
              <w:bidi w:val="0"/>
              <w:rPr>
                <w:sz w:val="24"/>
                <w:szCs w:val="24"/>
              </w:rPr>
            </w:pPr>
            <w:r w:rsidRPr="00900C3E">
              <w:rPr>
                <w:sz w:val="24"/>
                <w:szCs w:val="24"/>
                <w:rtl w:val="0"/>
                <w:lang w:val="en"/>
              </w:rPr>
              <w:t>Number of voting shares of the Company owned by shareholder(s) (in percent)</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 xml:space="preserve">Vitaliy Yuryevich </w:t>
            </w:r>
          </w:p>
          <w:p w:rsidR="00014B8F" w:rsidRPr="00900C3E" w:rsidP="00F55CD8">
            <w:pPr>
              <w:bidi w:val="0"/>
            </w:pPr>
            <w:r w:rsidRPr="00900C3E">
              <w:rPr>
                <w:rtl w:val="0"/>
                <w:lang w:val="en"/>
              </w:rPr>
              <w:t>Zarkhin</w:t>
            </w:r>
          </w:p>
        </w:tc>
        <w:tc>
          <w:tcPr>
            <w:tcW w:w="2835" w:type="dxa"/>
          </w:tcPr>
          <w:p w:rsidR="00014B8F" w:rsidRPr="00900C3E" w:rsidP="00F55CD8">
            <w:pPr>
              <w:bidi w:val="0"/>
            </w:pPr>
            <w:r w:rsidRPr="00900C3E">
              <w:rPr>
                <w:rtl w:val="0"/>
                <w:lang w:val="en"/>
              </w:rPr>
              <w:t>Currently unemployed</w:t>
            </w:r>
          </w:p>
        </w:tc>
        <w:tc>
          <w:tcPr>
            <w:tcW w:w="2551" w:type="dxa"/>
          </w:tcPr>
          <w:p w:rsidR="00014B8F" w:rsidRPr="00900C3E" w:rsidP="00F55CD8">
            <w:pPr>
              <w:bidi w:val="0"/>
              <w:rPr>
                <w:bCs/>
                <w:lang w:val="en-US"/>
              </w:rPr>
            </w:pPr>
            <w:r w:rsidRPr="00900C3E">
              <w:rPr>
                <w:color w:val="000000"/>
                <w:rtl w:val="0"/>
                <w:lang w:val="en"/>
              </w:rPr>
              <w:t>The Russian Prosperity Fund</w:t>
            </w:r>
          </w:p>
        </w:tc>
        <w:tc>
          <w:tcPr>
            <w:tcW w:w="1701" w:type="dxa"/>
          </w:tcPr>
          <w:p w:rsidR="00014B8F" w:rsidRPr="00900C3E" w:rsidP="00F55CD8">
            <w:pPr>
              <w:bidi w:val="0"/>
            </w:pPr>
            <w:r w:rsidRPr="00900C3E">
              <w:rPr>
                <w:rtl w:val="0"/>
                <w:lang w:val="en"/>
              </w:rPr>
              <w:t>3.51</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rPr>
                <w:bCs/>
              </w:rPr>
            </w:pPr>
            <w:r w:rsidRPr="00900C3E">
              <w:rPr>
                <w:bCs/>
                <w:rtl w:val="0"/>
                <w:lang w:val="en"/>
              </w:rPr>
              <w:t>Igor Dmitrievich Alushenko</w:t>
            </w:r>
          </w:p>
        </w:tc>
        <w:tc>
          <w:tcPr>
            <w:tcW w:w="2835" w:type="dxa"/>
          </w:tcPr>
          <w:p w:rsidR="00014B8F" w:rsidRPr="00900C3E" w:rsidP="00F55CD8">
            <w:pPr>
              <w:bidi w:val="0"/>
            </w:pPr>
            <w:r w:rsidRPr="00900C3E">
              <w:rPr>
                <w:rtl w:val="0"/>
                <w:lang w:val="en"/>
              </w:rPr>
              <w:t>Deputy Chief Engineer — Head Dispatcher, PJSC Rosseti</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Pavel Vladimirovich Grebtsov</w:t>
            </w:r>
          </w:p>
        </w:tc>
        <w:tc>
          <w:tcPr>
            <w:tcW w:w="2835" w:type="dxa"/>
          </w:tcPr>
          <w:p w:rsidR="00014B8F" w:rsidRPr="00900C3E" w:rsidP="00F55CD8">
            <w:pPr>
              <w:bidi w:val="0"/>
            </w:pPr>
            <w:r w:rsidRPr="00900C3E">
              <w:rPr>
                <w:rtl w:val="0"/>
                <w:lang w:val="en"/>
              </w:rPr>
              <w:t>Deputy Director General in charge of Economics and Finance, Rosseti PJSC</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5E52AE">
            <w:pPr>
              <w:bidi w:val="0"/>
            </w:pPr>
            <w:r w:rsidRPr="00900C3E">
              <w:rPr>
                <w:rtl w:val="0"/>
                <w:lang w:val="en"/>
              </w:rPr>
              <w:t>Aleksandr Ivanovich Kazakov</w:t>
            </w:r>
          </w:p>
        </w:tc>
        <w:tc>
          <w:tcPr>
            <w:tcW w:w="2835" w:type="dxa"/>
          </w:tcPr>
          <w:p w:rsidR="00014B8F" w:rsidRPr="00900C3E" w:rsidP="00F55CD8"/>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Oleg Yurievich Klinkov</w:t>
            </w:r>
          </w:p>
        </w:tc>
        <w:tc>
          <w:tcPr>
            <w:tcW w:w="2835" w:type="dxa"/>
          </w:tcPr>
          <w:p w:rsidR="00014B8F" w:rsidRPr="00900C3E" w:rsidP="00F55CD8">
            <w:pPr>
              <w:bidi w:val="0"/>
            </w:pPr>
            <w:r w:rsidRPr="00900C3E">
              <w:rPr>
                <w:rtl w:val="0"/>
                <w:lang w:val="en"/>
              </w:rPr>
              <w:t>Director of Customer Communication — Head of Technological Development Department, PJSC Rosseti</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Ekaterina Vladimirovna Nikitchanova</w:t>
            </w:r>
          </w:p>
        </w:tc>
        <w:tc>
          <w:tcPr>
            <w:tcW w:w="2835" w:type="dxa"/>
          </w:tcPr>
          <w:p w:rsidR="00014B8F" w:rsidRPr="00900C3E" w:rsidP="00F55CD8">
            <w:pPr>
              <w:bidi w:val="0"/>
            </w:pPr>
            <w:r w:rsidRPr="00900C3E">
              <w:rPr>
                <w:rtl w:val="0"/>
                <w:lang w:val="en"/>
              </w:rPr>
              <w:t>Deputy Director, Head of the Expert Center of NP "RID"</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Maria Vyacheslavna Korotkova</w:t>
            </w:r>
          </w:p>
        </w:tc>
        <w:tc>
          <w:tcPr>
            <w:tcW w:w="2835" w:type="dxa"/>
          </w:tcPr>
          <w:p w:rsidR="00014B8F" w:rsidRPr="00900C3E" w:rsidP="00F55CD8">
            <w:pPr>
              <w:bidi w:val="0"/>
            </w:pPr>
            <w:r w:rsidRPr="00900C3E">
              <w:rPr>
                <w:rtl w:val="0"/>
                <w:lang w:val="en"/>
              </w:rPr>
              <w:t>Director for Development, “Tekhinnovatsiya” LLC</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Daniil Vladimirovich Krainskiy</w:t>
            </w:r>
          </w:p>
        </w:tc>
        <w:tc>
          <w:tcPr>
            <w:tcW w:w="2835" w:type="dxa"/>
          </w:tcPr>
          <w:p w:rsidR="00014B8F" w:rsidRPr="00900C3E" w:rsidP="00F55CD8">
            <w:pPr>
              <w:bidi w:val="0"/>
            </w:pPr>
            <w:r w:rsidRPr="00900C3E">
              <w:rPr>
                <w:rtl w:val="0"/>
                <w:lang w:val="en"/>
              </w:rPr>
              <w:t>Deputy Director General for Legal support of PJSC Rosseti</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Alexey Alexandrovich Polinov</w:t>
            </w:r>
          </w:p>
        </w:tc>
        <w:tc>
          <w:tcPr>
            <w:tcW w:w="2835" w:type="dxa"/>
          </w:tcPr>
          <w:p w:rsidR="00014B8F" w:rsidRPr="00900C3E" w:rsidP="00F55CD8">
            <w:pPr>
              <w:bidi w:val="0"/>
            </w:pPr>
            <w:r w:rsidRPr="00900C3E">
              <w:rPr>
                <w:rtl w:val="0"/>
                <w:lang w:val="en"/>
              </w:rPr>
              <w:t>Chief Advisor to Rosseti, PJSC</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Egor Vyacheslavovich Prokhorov</w:t>
            </w:r>
          </w:p>
        </w:tc>
        <w:tc>
          <w:tcPr>
            <w:tcW w:w="2835" w:type="dxa"/>
          </w:tcPr>
          <w:p w:rsidR="00014B8F" w:rsidRPr="00900C3E" w:rsidP="00F55CD8">
            <w:pPr>
              <w:bidi w:val="0"/>
            </w:pPr>
            <w:r w:rsidRPr="00900C3E">
              <w:rPr>
                <w:rtl w:val="0"/>
                <w:lang w:val="en"/>
              </w:rPr>
              <w:t>Deputy Director General for Strategy, PJSC Rosseti</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Rozhkov Vasily Vladimirovich</w:t>
            </w:r>
          </w:p>
        </w:tc>
        <w:tc>
          <w:tcPr>
            <w:tcW w:w="2835" w:type="dxa"/>
          </w:tcPr>
          <w:p w:rsidR="00014B8F" w:rsidRPr="00900C3E" w:rsidP="00F55CD8">
            <w:pPr>
              <w:bidi w:val="0"/>
            </w:pPr>
            <w:r w:rsidRPr="00900C3E">
              <w:rPr>
                <w:rtl w:val="0"/>
                <w:lang w:val="en"/>
              </w:rPr>
              <w:t>Deputy Principal Engineer of PJSC Rosseti</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r w:rsidTr="00F55CD8">
        <w:tblPrEx>
          <w:tblW w:w="9923" w:type="dxa"/>
          <w:tblInd w:w="-289" w:type="dxa"/>
          <w:tblLayout w:type="fixed"/>
          <w:tblLook w:val="0000"/>
        </w:tblPrEx>
        <w:trPr>
          <w:cantSplit/>
        </w:trPr>
        <w:tc>
          <w:tcPr>
            <w:tcW w:w="426" w:type="dxa"/>
          </w:tcPr>
          <w:p w:rsidR="00014B8F" w:rsidRPr="00900C3E" w:rsidP="00014B8F">
            <w:pPr>
              <w:pStyle w:val="BodyText"/>
              <w:numPr>
                <w:ilvl w:val="0"/>
                <w:numId w:val="30"/>
              </w:numPr>
              <w:ind w:left="0" w:firstLine="0"/>
              <w:jc w:val="both"/>
              <w:rPr>
                <w:sz w:val="24"/>
                <w:szCs w:val="24"/>
              </w:rPr>
            </w:pPr>
          </w:p>
        </w:tc>
        <w:tc>
          <w:tcPr>
            <w:tcW w:w="2410" w:type="dxa"/>
          </w:tcPr>
          <w:p w:rsidR="00014B8F" w:rsidRPr="00900C3E" w:rsidP="00F55CD8">
            <w:pPr>
              <w:bidi w:val="0"/>
            </w:pPr>
            <w:r w:rsidRPr="00900C3E">
              <w:rPr>
                <w:rtl w:val="0"/>
                <w:lang w:val="en"/>
              </w:rPr>
              <w:t>Boris Borisovich Ebzeev</w:t>
            </w:r>
          </w:p>
        </w:tc>
        <w:tc>
          <w:tcPr>
            <w:tcW w:w="2835" w:type="dxa"/>
          </w:tcPr>
          <w:p w:rsidR="00014B8F" w:rsidRPr="00900C3E" w:rsidP="00F55CD8">
            <w:pPr>
              <w:bidi w:val="0"/>
            </w:pPr>
            <w:r w:rsidRPr="00900C3E">
              <w:rPr>
                <w:rtl w:val="0"/>
                <w:lang w:val="en"/>
              </w:rPr>
              <w:t>Director General of PJCS Rosseti South, acting Director General, PJSC Rosseti Kuban</w:t>
            </w:r>
          </w:p>
        </w:tc>
        <w:tc>
          <w:tcPr>
            <w:tcW w:w="2551" w:type="dxa"/>
          </w:tcPr>
          <w:p w:rsidR="00014B8F" w:rsidRPr="00900C3E" w:rsidP="00F55CD8">
            <w:pPr>
              <w:pStyle w:val="BodyText"/>
              <w:tabs>
                <w:tab w:val="left" w:pos="33"/>
              </w:tabs>
              <w:bidi w:val="0"/>
              <w:jc w:val="both"/>
              <w:rPr>
                <w:sz w:val="24"/>
                <w:szCs w:val="24"/>
              </w:rPr>
            </w:pPr>
            <w:r w:rsidRPr="00900C3E">
              <w:rPr>
                <w:sz w:val="24"/>
                <w:szCs w:val="24"/>
                <w:rtl w:val="0"/>
                <w:lang w:val="en"/>
              </w:rPr>
              <w:t>PJSC Rosseti</w:t>
            </w:r>
          </w:p>
        </w:tc>
        <w:tc>
          <w:tcPr>
            <w:tcW w:w="1701" w:type="dxa"/>
          </w:tcPr>
          <w:p w:rsidR="00014B8F" w:rsidRPr="00900C3E" w:rsidP="00F55CD8">
            <w:pPr>
              <w:bidi w:val="0"/>
            </w:pPr>
            <w:r w:rsidRPr="00900C3E">
              <w:rPr>
                <w:rtl w:val="0"/>
                <w:lang w:val="en"/>
              </w:rPr>
              <w:t>84.12</w:t>
            </w:r>
          </w:p>
        </w:tc>
      </w:tr>
    </w:tbl>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014B8F">
            <w:pPr>
              <w:pStyle w:val="BodyText"/>
              <w:widowControl w:val="0"/>
              <w:bidi w:val="0"/>
              <w:ind w:right="-41"/>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bl>
    <w:p w:rsidR="006A1DEB" w:rsidRPr="00B36DD3" w:rsidP="006A1DEB">
      <w:pPr>
        <w:tabs>
          <w:tab w:val="left" w:pos="540"/>
          <w:tab w:val="left" w:pos="1134"/>
        </w:tabs>
        <w:bidi w:val="0"/>
        <w:jc w:val="both"/>
        <w:rPr>
          <w:b/>
        </w:rPr>
      </w:pPr>
      <w:r w:rsidRPr="00B36DD3">
        <w:rPr>
          <w:b/>
          <w:rtl w:val="0"/>
          <w:lang w:val="en"/>
        </w:rPr>
        <w:t>The resolution was adopted.</w:t>
      </w:r>
    </w:p>
    <w:p w:rsidR="00405ACE" w:rsidP="00014B8F">
      <w:pPr>
        <w:jc w:val="both"/>
        <w:rPr>
          <w:b/>
          <w:caps/>
        </w:rPr>
      </w:pPr>
    </w:p>
    <w:p w:rsidR="00405ACE" w:rsidP="00014B8F">
      <w:pPr>
        <w:jc w:val="both"/>
        <w:rPr>
          <w:b/>
          <w:caps/>
        </w:rPr>
      </w:pPr>
    </w:p>
    <w:p w:rsidR="00014B8F" w:rsidRPr="00900C3E" w:rsidP="00014B8F">
      <w:pPr>
        <w:bidi w:val="0"/>
        <w:jc w:val="both"/>
        <w:rPr>
          <w:b/>
          <w:bCs/>
        </w:rPr>
      </w:pPr>
      <w:r w:rsidRPr="00900C3E">
        <w:rPr>
          <w:b/>
          <w:caps/>
          <w:rtl w:val="0"/>
          <w:lang w:val="en"/>
        </w:rPr>
        <w:t xml:space="preserve">Item No. 2: </w:t>
      </w:r>
      <w:r w:rsidRPr="00900C3E">
        <w:rPr>
          <w:b/>
          <w:snapToGrid w:val="0"/>
          <w:rtl w:val="0"/>
          <w:lang w:val="en"/>
        </w:rPr>
        <w:t>On approval of the form and text of voting ballots at the Extraordinary General Meeting of Shareholders of the Company, as well as the wording of resolutions on agenda items of the Extraordinary General Meeting of Shareholders, which shall be sent in electronic form (in the form of electronic documents) to nominee shareholders registered in the register of shareholders of the Company</w:t>
      </w:r>
      <w:r w:rsidRPr="00900C3E">
        <w:rPr>
          <w:b/>
          <w:color w:val="000000"/>
          <w:rtl w:val="0"/>
          <w:lang w:val="en"/>
        </w:rPr>
        <w:t>.</w:t>
      </w:r>
    </w:p>
    <w:p w:rsidR="00014B8F" w:rsidRPr="00900C3E" w:rsidP="00014B8F">
      <w:pPr>
        <w:bidi w:val="0"/>
        <w:jc w:val="both"/>
        <w:rPr>
          <w:b/>
        </w:rPr>
      </w:pPr>
      <w:r w:rsidRPr="00900C3E">
        <w:rPr>
          <w:b/>
          <w:rtl w:val="0"/>
          <w:lang w:val="en"/>
        </w:rPr>
        <w:t>RESOLUTION:</w:t>
      </w:r>
    </w:p>
    <w:p w:rsidR="00014B8F" w:rsidRPr="00900C3E" w:rsidP="00014B8F">
      <w:pPr>
        <w:widowControl w:val="0"/>
        <w:bidi w:val="0"/>
        <w:ind w:firstLine="567"/>
        <w:jc w:val="both"/>
        <w:rPr>
          <w:snapToGrid w:val="0"/>
        </w:rPr>
      </w:pPr>
      <w:r w:rsidRPr="00900C3E">
        <w:rPr>
          <w:snapToGrid w:val="0"/>
          <w:rtl w:val="0"/>
          <w:lang w:val="en"/>
        </w:rPr>
        <w:t>1. Approve the form and text of ballot papers to be voted on at the Extraordinary General Meeting of Shareholders of the Company in accordance with Annexes No. 1-2 hereto.</w:t>
      </w:r>
    </w:p>
    <w:p w:rsidR="00014B8F" w:rsidRPr="00900C3E" w:rsidP="00014B8F">
      <w:pPr>
        <w:widowControl w:val="0"/>
        <w:bidi w:val="0"/>
        <w:ind w:firstLine="567"/>
        <w:jc w:val="both"/>
        <w:rPr>
          <w:snapToGrid w:val="0"/>
        </w:rPr>
      </w:pPr>
      <w:r w:rsidRPr="00900C3E">
        <w:rPr>
          <w:snapToGrid w:val="0"/>
          <w:rtl w:val="0"/>
          <w:lang w:val="en"/>
        </w:rPr>
        <w:t>2. Send in electronic form (in the form of electronic documents) to nominee shareholders registered in the register of shareholders, use the wording of resolutions specified in the voting bulletins.</w:t>
      </w:r>
    </w:p>
    <w:p w:rsidR="00014B8F" w:rsidRPr="009E7270" w:rsidP="00014B8F">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55CD8">
        <w:tblPrEx>
          <w:tblW w:w="5133" w:type="pct"/>
          <w:tblInd w:w="-142" w:type="dxa"/>
          <w:tblLayout w:type="fixed"/>
          <w:tblLook w:val="0000"/>
        </w:tblPrEx>
        <w:tc>
          <w:tcPr>
            <w:tcW w:w="1134" w:type="pct"/>
          </w:tcPr>
          <w:p w:rsidR="00014B8F" w:rsidRPr="00B36DD3" w:rsidP="00F55CD8">
            <w:pPr>
              <w:pStyle w:val="BodyText"/>
              <w:widowControl w:val="0"/>
              <w:bidi w:val="0"/>
              <w:ind w:right="-90"/>
              <w:jc w:val="both"/>
              <w:rPr>
                <w:sz w:val="24"/>
                <w:szCs w:val="24"/>
              </w:rPr>
            </w:pPr>
            <w:r w:rsidRPr="00B36DD3">
              <w:rPr>
                <w:sz w:val="24"/>
                <w:szCs w:val="24"/>
                <w:rtl w:val="0"/>
                <w:lang w:val="en"/>
              </w:rPr>
              <w:t>D.V. Krainsky</w:t>
            </w:r>
          </w:p>
        </w:tc>
        <w:tc>
          <w:tcPr>
            <w:tcW w:w="196"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01" w:type="pct"/>
          </w:tcPr>
          <w:p w:rsidR="00014B8F" w:rsidRPr="00B36DD3" w:rsidP="00F55CD8">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014B8F" w:rsidRPr="00B36DD3" w:rsidP="00F55CD8">
            <w:pPr>
              <w:pStyle w:val="BodyText"/>
              <w:widowControl w:val="0"/>
              <w:bidi w:val="0"/>
              <w:ind w:right="-90"/>
              <w:jc w:val="both"/>
              <w:rPr>
                <w:sz w:val="24"/>
                <w:szCs w:val="24"/>
              </w:rPr>
            </w:pPr>
            <w:r w:rsidRPr="00B36DD3">
              <w:rPr>
                <w:sz w:val="24"/>
                <w:szCs w:val="24"/>
                <w:rtl w:val="0"/>
                <w:lang w:val="en"/>
              </w:rPr>
              <w:t>N.K. Ozhegina</w:t>
            </w:r>
          </w:p>
        </w:tc>
        <w:tc>
          <w:tcPr>
            <w:tcW w:w="150"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73" w:type="pct"/>
          </w:tcPr>
          <w:p w:rsidR="00014B8F" w:rsidRPr="00B36DD3" w:rsidP="00F55CD8">
            <w:pPr>
              <w:pStyle w:val="BodyText"/>
              <w:widowControl w:val="0"/>
              <w:bidi w:val="0"/>
              <w:ind w:right="-208"/>
              <w:jc w:val="both"/>
              <w:rPr>
                <w:b/>
                <w:bCs/>
                <w:sz w:val="24"/>
                <w:szCs w:val="24"/>
              </w:rPr>
            </w:pPr>
            <w:r w:rsidRPr="00B36DD3">
              <w:rPr>
                <w:b/>
                <w:bCs/>
                <w:sz w:val="24"/>
                <w:szCs w:val="24"/>
                <w:rtl w:val="0"/>
                <w:lang w:val="en"/>
              </w:rPr>
              <w:t>"FOR"</w:t>
            </w:r>
          </w:p>
        </w:tc>
      </w:tr>
      <w:tr w:rsidTr="00F55CD8">
        <w:tblPrEx>
          <w:tblW w:w="5133" w:type="pct"/>
          <w:tblInd w:w="-142" w:type="dxa"/>
          <w:tblLayout w:type="fixed"/>
          <w:tblLook w:val="0000"/>
        </w:tblPrEx>
        <w:tc>
          <w:tcPr>
            <w:tcW w:w="1134" w:type="pct"/>
          </w:tcPr>
          <w:p w:rsidR="00014B8F" w:rsidRPr="00B36DD3" w:rsidP="00F55CD8">
            <w:pPr>
              <w:pStyle w:val="BodyText"/>
              <w:widowControl w:val="0"/>
              <w:bidi w:val="0"/>
              <w:ind w:right="-90"/>
              <w:jc w:val="both"/>
              <w:rPr>
                <w:sz w:val="24"/>
                <w:szCs w:val="24"/>
              </w:rPr>
            </w:pPr>
            <w:r w:rsidRPr="00B36DD3">
              <w:rPr>
                <w:sz w:val="24"/>
                <w:szCs w:val="24"/>
                <w:rtl w:val="0"/>
                <w:lang w:val="en"/>
              </w:rPr>
              <w:t>V.Yu. Zarkhin</w:t>
            </w:r>
          </w:p>
        </w:tc>
        <w:tc>
          <w:tcPr>
            <w:tcW w:w="196"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01" w:type="pct"/>
          </w:tcPr>
          <w:p w:rsidR="00014B8F" w:rsidRPr="00B36DD3" w:rsidP="00014B8F">
            <w:pPr>
              <w:pStyle w:val="BodyText"/>
              <w:widowControl w:val="0"/>
              <w:bidi w:val="0"/>
              <w:ind w:right="-41"/>
              <w:rPr>
                <w:b/>
                <w:bCs/>
                <w:sz w:val="24"/>
                <w:szCs w:val="24"/>
              </w:rPr>
            </w:pPr>
            <w:r w:rsidRPr="00B36DD3">
              <w:rPr>
                <w:b/>
                <w:bCs/>
                <w:sz w:val="24"/>
                <w:szCs w:val="24"/>
                <w:rtl w:val="0"/>
                <w:lang w:val="en"/>
              </w:rPr>
              <w:t>"FOR"</w:t>
            </w:r>
          </w:p>
        </w:tc>
        <w:tc>
          <w:tcPr>
            <w:tcW w:w="1046" w:type="pct"/>
          </w:tcPr>
          <w:p w:rsidR="00014B8F" w:rsidRPr="00B36DD3" w:rsidP="00F55CD8">
            <w:pPr>
              <w:pStyle w:val="BodyText"/>
              <w:widowControl w:val="0"/>
              <w:bidi w:val="0"/>
              <w:ind w:right="-90"/>
              <w:jc w:val="both"/>
              <w:rPr>
                <w:sz w:val="24"/>
                <w:szCs w:val="24"/>
              </w:rPr>
            </w:pPr>
            <w:r w:rsidRPr="00B36DD3">
              <w:rPr>
                <w:sz w:val="24"/>
                <w:szCs w:val="24"/>
                <w:rtl w:val="0"/>
                <w:lang w:val="en"/>
              </w:rPr>
              <w:t>A.V. Molsky</w:t>
            </w:r>
          </w:p>
        </w:tc>
        <w:tc>
          <w:tcPr>
            <w:tcW w:w="150"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73" w:type="pct"/>
          </w:tcPr>
          <w:p w:rsidR="00014B8F" w:rsidRPr="00B36DD3" w:rsidP="00F55CD8">
            <w:pPr>
              <w:pStyle w:val="BodyText"/>
              <w:widowControl w:val="0"/>
              <w:bidi w:val="0"/>
              <w:ind w:right="-41"/>
              <w:jc w:val="both"/>
              <w:rPr>
                <w:b/>
                <w:bCs/>
                <w:sz w:val="24"/>
                <w:szCs w:val="24"/>
              </w:rPr>
            </w:pPr>
            <w:r w:rsidRPr="00B36DD3">
              <w:rPr>
                <w:b/>
                <w:bCs/>
                <w:sz w:val="24"/>
                <w:szCs w:val="24"/>
                <w:rtl w:val="0"/>
                <w:lang w:val="en"/>
              </w:rPr>
              <w:t>"FOR"</w:t>
            </w:r>
          </w:p>
        </w:tc>
      </w:tr>
      <w:tr w:rsidTr="00F55CD8">
        <w:tblPrEx>
          <w:tblW w:w="5133" w:type="pct"/>
          <w:tblInd w:w="-142" w:type="dxa"/>
          <w:tblLayout w:type="fixed"/>
          <w:tblLook w:val="0000"/>
        </w:tblPrEx>
        <w:tc>
          <w:tcPr>
            <w:tcW w:w="1134" w:type="pct"/>
            <w:shd w:val="clear" w:color="auto" w:fill="auto"/>
          </w:tcPr>
          <w:p w:rsidR="00014B8F" w:rsidRPr="00B36DD3" w:rsidP="00F55CD8">
            <w:pPr>
              <w:pStyle w:val="BodyText"/>
              <w:widowControl w:val="0"/>
              <w:bidi w:val="0"/>
              <w:ind w:right="-90"/>
              <w:jc w:val="both"/>
              <w:rPr>
                <w:sz w:val="24"/>
                <w:szCs w:val="24"/>
              </w:rPr>
            </w:pPr>
            <w:r w:rsidRPr="00B36DD3">
              <w:rPr>
                <w:sz w:val="24"/>
                <w:szCs w:val="24"/>
                <w:rtl w:val="0"/>
                <w:lang w:val="en"/>
              </w:rPr>
              <w:t>V.A. Kapitonov</w:t>
            </w:r>
          </w:p>
        </w:tc>
        <w:tc>
          <w:tcPr>
            <w:tcW w:w="196"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01" w:type="pct"/>
          </w:tcPr>
          <w:p w:rsidR="00014B8F" w:rsidRPr="00B36DD3" w:rsidP="00F55CD8">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014B8F" w:rsidRPr="00B36DD3" w:rsidP="00F55CD8">
            <w:pPr>
              <w:pStyle w:val="BodyText"/>
              <w:widowControl w:val="0"/>
              <w:bidi w:val="0"/>
              <w:ind w:right="-90"/>
              <w:jc w:val="both"/>
              <w:rPr>
                <w:sz w:val="24"/>
                <w:szCs w:val="24"/>
              </w:rPr>
            </w:pPr>
            <w:r w:rsidRPr="00B36DD3">
              <w:rPr>
                <w:sz w:val="24"/>
                <w:szCs w:val="24"/>
                <w:rtl w:val="0"/>
                <w:lang w:val="en"/>
              </w:rPr>
              <w:t>E.V. Prokhorov</w:t>
            </w:r>
          </w:p>
        </w:tc>
        <w:tc>
          <w:tcPr>
            <w:tcW w:w="150"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73" w:type="pct"/>
          </w:tcPr>
          <w:p w:rsidR="00014B8F" w:rsidRPr="00B36DD3" w:rsidP="00F55CD8">
            <w:pPr>
              <w:pStyle w:val="BodyText"/>
              <w:widowControl w:val="0"/>
              <w:bidi w:val="0"/>
              <w:ind w:right="-41"/>
              <w:jc w:val="both"/>
              <w:rPr>
                <w:b/>
                <w:bCs/>
                <w:sz w:val="24"/>
                <w:szCs w:val="24"/>
              </w:rPr>
            </w:pPr>
            <w:r w:rsidRPr="00B36DD3">
              <w:rPr>
                <w:b/>
                <w:bCs/>
                <w:sz w:val="24"/>
                <w:szCs w:val="24"/>
                <w:rtl w:val="0"/>
                <w:lang w:val="en"/>
              </w:rPr>
              <w:t>"FOR"</w:t>
            </w:r>
          </w:p>
        </w:tc>
      </w:tr>
      <w:tr w:rsidTr="00F55CD8">
        <w:tblPrEx>
          <w:tblW w:w="5133" w:type="pct"/>
          <w:tblInd w:w="-142" w:type="dxa"/>
          <w:tblLayout w:type="fixed"/>
          <w:tblLook w:val="0000"/>
        </w:tblPrEx>
        <w:tc>
          <w:tcPr>
            <w:tcW w:w="1134" w:type="pct"/>
            <w:shd w:val="clear" w:color="auto" w:fill="auto"/>
          </w:tcPr>
          <w:p w:rsidR="00014B8F" w:rsidRPr="00B36DD3" w:rsidP="00F55CD8">
            <w:pPr>
              <w:pStyle w:val="BodyText"/>
              <w:widowControl w:val="0"/>
              <w:bidi w:val="0"/>
              <w:ind w:right="-90"/>
              <w:jc w:val="both"/>
              <w:rPr>
                <w:sz w:val="24"/>
                <w:szCs w:val="24"/>
              </w:rPr>
            </w:pPr>
            <w:r w:rsidRPr="00B36DD3">
              <w:rPr>
                <w:sz w:val="24"/>
                <w:szCs w:val="24"/>
                <w:rtl w:val="0"/>
                <w:lang w:val="en"/>
              </w:rPr>
              <w:t>M.V. Korotkova</w:t>
            </w:r>
          </w:p>
        </w:tc>
        <w:tc>
          <w:tcPr>
            <w:tcW w:w="196"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01" w:type="pct"/>
          </w:tcPr>
          <w:p w:rsidR="00014B8F" w:rsidRPr="00B36DD3" w:rsidP="00F55CD8">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014B8F" w:rsidRPr="00B36DD3" w:rsidP="00F55CD8">
            <w:pPr>
              <w:pStyle w:val="BodyText"/>
              <w:widowControl w:val="0"/>
              <w:bidi w:val="0"/>
              <w:ind w:right="-90"/>
              <w:jc w:val="both"/>
              <w:rPr>
                <w:sz w:val="24"/>
                <w:szCs w:val="24"/>
              </w:rPr>
            </w:pPr>
            <w:r w:rsidRPr="00B36DD3">
              <w:rPr>
                <w:sz w:val="24"/>
                <w:szCs w:val="24"/>
                <w:rtl w:val="0"/>
                <w:lang w:val="en"/>
              </w:rPr>
              <w:t>V.V. Rozhkov</w:t>
            </w:r>
          </w:p>
        </w:tc>
        <w:tc>
          <w:tcPr>
            <w:tcW w:w="150"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73" w:type="pct"/>
          </w:tcPr>
          <w:p w:rsidR="00014B8F" w:rsidRPr="00B36DD3" w:rsidP="00F55CD8">
            <w:pPr>
              <w:pStyle w:val="BodyText"/>
              <w:widowControl w:val="0"/>
              <w:bidi w:val="0"/>
              <w:ind w:right="-41"/>
              <w:jc w:val="both"/>
              <w:rPr>
                <w:b/>
                <w:bCs/>
                <w:sz w:val="24"/>
                <w:szCs w:val="24"/>
              </w:rPr>
            </w:pPr>
            <w:r w:rsidRPr="00B36DD3">
              <w:rPr>
                <w:b/>
                <w:bCs/>
                <w:sz w:val="24"/>
                <w:szCs w:val="24"/>
                <w:rtl w:val="0"/>
                <w:lang w:val="en"/>
              </w:rPr>
              <w:t>"FOR"</w:t>
            </w:r>
          </w:p>
        </w:tc>
      </w:tr>
      <w:tr w:rsidTr="00F55CD8">
        <w:tblPrEx>
          <w:tblW w:w="5133" w:type="pct"/>
          <w:tblInd w:w="-142" w:type="dxa"/>
          <w:tblLayout w:type="fixed"/>
          <w:tblLook w:val="0000"/>
        </w:tblPrEx>
        <w:tc>
          <w:tcPr>
            <w:tcW w:w="1134" w:type="pct"/>
          </w:tcPr>
          <w:p w:rsidR="00014B8F" w:rsidRPr="00B36DD3" w:rsidP="00F55CD8">
            <w:pPr>
              <w:pStyle w:val="BodyText"/>
              <w:widowControl w:val="0"/>
              <w:bidi w:val="0"/>
              <w:ind w:right="-90"/>
              <w:jc w:val="both"/>
              <w:rPr>
                <w:sz w:val="24"/>
                <w:szCs w:val="24"/>
              </w:rPr>
            </w:pPr>
            <w:r w:rsidRPr="00B36DD3">
              <w:rPr>
                <w:sz w:val="24"/>
                <w:szCs w:val="24"/>
                <w:rtl w:val="0"/>
                <w:lang w:val="en"/>
              </w:rPr>
              <w:t>K.A. Mikhailik</w:t>
            </w:r>
          </w:p>
        </w:tc>
        <w:tc>
          <w:tcPr>
            <w:tcW w:w="196"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01" w:type="pct"/>
          </w:tcPr>
          <w:p w:rsidR="00014B8F" w:rsidRPr="00B36DD3" w:rsidP="00F55CD8">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014B8F" w:rsidRPr="00B36DD3" w:rsidP="00F55CD8">
            <w:pPr>
              <w:pStyle w:val="BodyText"/>
              <w:widowControl w:val="0"/>
              <w:bidi w:val="0"/>
              <w:ind w:right="-90"/>
              <w:jc w:val="both"/>
              <w:rPr>
                <w:sz w:val="24"/>
                <w:szCs w:val="24"/>
              </w:rPr>
            </w:pPr>
            <w:r w:rsidRPr="00B36DD3">
              <w:rPr>
                <w:sz w:val="24"/>
                <w:szCs w:val="24"/>
                <w:rtl w:val="0"/>
                <w:lang w:val="en"/>
              </w:rPr>
              <w:t>B.B. Ebzeev</w:t>
            </w:r>
          </w:p>
        </w:tc>
        <w:tc>
          <w:tcPr>
            <w:tcW w:w="150" w:type="pct"/>
          </w:tcPr>
          <w:p w:rsidR="00014B8F" w:rsidRPr="00B36DD3" w:rsidP="00F55CD8">
            <w:pPr>
              <w:pStyle w:val="BodyText"/>
              <w:widowControl w:val="0"/>
              <w:bidi w:val="0"/>
              <w:jc w:val="both"/>
              <w:rPr>
                <w:b/>
                <w:bCs/>
                <w:sz w:val="24"/>
                <w:szCs w:val="24"/>
              </w:rPr>
            </w:pPr>
            <w:r w:rsidRPr="00B36DD3">
              <w:rPr>
                <w:b/>
                <w:bCs/>
                <w:sz w:val="24"/>
                <w:szCs w:val="24"/>
                <w:rtl w:val="0"/>
                <w:lang w:val="en"/>
              </w:rPr>
              <w:t>-</w:t>
            </w:r>
          </w:p>
        </w:tc>
        <w:tc>
          <w:tcPr>
            <w:tcW w:w="1273" w:type="pct"/>
          </w:tcPr>
          <w:p w:rsidR="00014B8F" w:rsidRPr="00B36DD3" w:rsidP="00F55CD8">
            <w:pPr>
              <w:pStyle w:val="BodyText"/>
              <w:widowControl w:val="0"/>
              <w:bidi w:val="0"/>
              <w:ind w:right="-208"/>
              <w:jc w:val="both"/>
              <w:rPr>
                <w:b/>
                <w:bCs/>
                <w:sz w:val="24"/>
                <w:szCs w:val="24"/>
              </w:rPr>
            </w:pPr>
            <w:r w:rsidRPr="00B36DD3">
              <w:rPr>
                <w:b/>
                <w:bCs/>
                <w:sz w:val="24"/>
                <w:szCs w:val="24"/>
                <w:rtl w:val="0"/>
                <w:lang w:val="en"/>
              </w:rPr>
              <w:t>"FOR"</w:t>
            </w:r>
          </w:p>
        </w:tc>
      </w:tr>
    </w:tbl>
    <w:p w:rsidR="00014B8F" w:rsidRPr="00B36DD3" w:rsidP="00014B8F">
      <w:pPr>
        <w:tabs>
          <w:tab w:val="left" w:pos="540"/>
          <w:tab w:val="left" w:pos="1134"/>
        </w:tabs>
        <w:bidi w:val="0"/>
        <w:jc w:val="both"/>
        <w:rPr>
          <w:b/>
        </w:rPr>
      </w:pPr>
      <w:r w:rsidRPr="00B36DD3">
        <w:rPr>
          <w:b/>
          <w:rtl w:val="0"/>
          <w:lang w:val="en"/>
        </w:rPr>
        <w:t>The resolution was adopted.</w:t>
      </w:r>
    </w:p>
    <w:p w:rsidR="00014B8F" w:rsidP="000D4A43">
      <w:pPr>
        <w:pStyle w:val="BodyText"/>
        <w:widowControl w:val="0"/>
        <w:ind w:firstLine="567"/>
        <w:jc w:val="both"/>
        <w:rPr>
          <w:i/>
          <w:sz w:val="24"/>
          <w:szCs w:val="24"/>
        </w:rPr>
      </w:pPr>
    </w:p>
    <w:p w:rsidR="00375C7D" w:rsidP="00FE047E">
      <w:pPr>
        <w:tabs>
          <w:tab w:val="left" w:pos="540"/>
          <w:tab w:val="left" w:pos="1134"/>
        </w:tabs>
        <w:jc w:val="both"/>
        <w:rPr>
          <w:b/>
          <w:color w:val="000000" w:themeColor="text1"/>
        </w:rPr>
      </w:pPr>
    </w:p>
    <w:p w:rsidR="00014B8F" w:rsidRPr="00B01DB3" w:rsidP="00014B8F">
      <w:pPr>
        <w:bidi w:val="0"/>
        <w:jc w:val="both"/>
        <w:rPr>
          <w:b/>
          <w:bCs/>
        </w:rPr>
      </w:pPr>
      <w:r w:rsidRPr="00B01DB3">
        <w:rPr>
          <w:b/>
          <w:caps/>
          <w:rtl w:val="0"/>
          <w:lang w:val="en"/>
        </w:rPr>
        <w:t xml:space="preserve">Item No.3: </w:t>
      </w:r>
      <w:r w:rsidRPr="00B01DB3">
        <w:rPr>
          <w:b/>
          <w:snapToGrid w:val="0"/>
          <w:rtl w:val="0"/>
          <w:lang w:val="en"/>
        </w:rPr>
        <w:t>On determining the date of sending voting ballots to persons entitled to participate in the Extraordinary General Meeting of Shareholders, the address to which completed voting ballots may be sent, and the deadline for accepting completed voting ballots.</w:t>
      </w:r>
    </w:p>
    <w:p w:rsidR="00014B8F" w:rsidRPr="00B01DB3" w:rsidP="00014B8F">
      <w:pPr>
        <w:bidi w:val="0"/>
        <w:jc w:val="both"/>
        <w:rPr>
          <w:b/>
        </w:rPr>
      </w:pPr>
      <w:r w:rsidRPr="00B01DB3">
        <w:rPr>
          <w:b/>
          <w:rtl w:val="0"/>
          <w:lang w:val="en"/>
        </w:rPr>
        <w:t>RESOLUTION:</w:t>
      </w:r>
    </w:p>
    <w:p w:rsidR="00014B8F" w:rsidRPr="00B01DB3" w:rsidP="00014B8F">
      <w:pPr>
        <w:widowControl w:val="0"/>
        <w:bidi w:val="0"/>
        <w:ind w:firstLine="567"/>
        <w:jc w:val="both"/>
      </w:pPr>
      <w:r w:rsidRPr="00B01DB3">
        <w:rPr>
          <w:rtl w:val="0"/>
          <w:lang w:val="en"/>
        </w:rPr>
        <w:t xml:space="preserve">1. Determine that voting ballots shall be sent by a simple letter to persons entitled to participate at the Extraordinary General Meeting of the Company Shareholders, no later than August 10, 2021. </w:t>
      </w:r>
    </w:p>
    <w:p w:rsidR="00014B8F" w:rsidRPr="00B01DB3" w:rsidP="00014B8F">
      <w:pPr>
        <w:widowControl w:val="0"/>
        <w:bidi w:val="0"/>
        <w:ind w:firstLine="567"/>
        <w:jc w:val="both"/>
      </w:pPr>
      <w:r w:rsidRPr="00B01DB3">
        <w:rPr>
          <w:rtl w:val="0"/>
          <w:lang w:val="en"/>
        </w:rPr>
        <w:t>The voting ballots in electronic form (in the form of electronic documents) shall be sent no later than August 10, 2021, to the registrar of NRC - R.O.S.T. JSC for sending to nominee holders registered in the Company's shareholder register.</w:t>
      </w:r>
    </w:p>
    <w:p w:rsidR="00014B8F" w:rsidRPr="00B01DB3" w:rsidP="00014B8F">
      <w:pPr>
        <w:widowControl w:val="0"/>
        <w:bidi w:val="0"/>
        <w:ind w:firstLine="567"/>
        <w:jc w:val="both"/>
      </w:pPr>
      <w:r w:rsidRPr="00B01DB3">
        <w:rPr>
          <w:rtl w:val="0"/>
          <w:lang w:val="en"/>
        </w:rPr>
        <w:t>2. Determine that completed voting ballots may be sent to one of the following addresses:</w:t>
      </w:r>
    </w:p>
    <w:p w:rsidR="00014B8F" w:rsidRPr="00B01DB3" w:rsidP="00014B8F">
      <w:pPr>
        <w:widowControl w:val="0"/>
        <w:bidi w:val="0"/>
        <w:ind w:firstLine="567"/>
        <w:jc w:val="both"/>
      </w:pPr>
      <w:r w:rsidRPr="00B01DB3">
        <w:rPr>
          <w:rtl w:val="0"/>
          <w:lang w:val="en"/>
        </w:rPr>
        <w:t>- Rosseti South PJSC, 49 Bolshaya Sadovaya St., Rostov-on-don, 344002, Russian Federation</w:t>
      </w:r>
    </w:p>
    <w:p w:rsidR="00014B8F" w:rsidRPr="00B01DB3" w:rsidP="00014B8F">
      <w:pPr>
        <w:widowControl w:val="0"/>
        <w:bidi w:val="0"/>
        <w:ind w:firstLine="567"/>
        <w:jc w:val="both"/>
      </w:pPr>
      <w:r w:rsidRPr="00B01DB3">
        <w:rPr>
          <w:rtl w:val="0"/>
          <w:lang w:val="en"/>
        </w:rPr>
        <w:t>IRC-R.O.S.T. JSC (Company's registrar), bldg.18, block 5B, Stromynka St., Moscow, 107996, Russian Federation</w:t>
      </w:r>
    </w:p>
    <w:p w:rsidR="00014B8F" w:rsidRPr="00B01DB3" w:rsidP="00014B8F">
      <w:pPr>
        <w:widowControl w:val="0"/>
        <w:bidi w:val="0"/>
        <w:ind w:firstLine="567"/>
        <w:jc w:val="both"/>
      </w:pPr>
      <w:r w:rsidRPr="00B01DB3">
        <w:rPr>
          <w:rtl w:val="0"/>
          <w:lang w:val="en"/>
        </w:rPr>
        <w:t>3. Determine the following website address in the information and telecommunications network "Internet" for filling out the electronic form of ballot papers - https://lk.rrost.ru/.</w:t>
      </w:r>
    </w:p>
    <w:p w:rsidR="00014B8F" w:rsidRPr="00B01DB3" w:rsidP="00014B8F">
      <w:pPr>
        <w:bidi w:val="0"/>
        <w:ind w:firstLine="567"/>
        <w:jc w:val="both"/>
      </w:pPr>
      <w:r w:rsidRPr="00B01DB3">
        <w:rPr>
          <w:rtl w:val="0"/>
          <w:lang w:val="en"/>
        </w:rPr>
        <w:t>4. When determining the quorum of the Meeting and summing up the results of voting, the votes submitted by the ballots received or the electronic form of which is filled in on the website specified in the notice of the Meeting in the information and telecommunication network "Internet" before August 31, 2021 shall be taken into account.</w:t>
      </w:r>
    </w:p>
    <w:p w:rsidR="00014B8F" w:rsidRPr="00B01DB3" w:rsidP="00014B8F">
      <w:pPr>
        <w:bidi w:val="0"/>
        <w:ind w:firstLine="567"/>
        <w:jc w:val="both"/>
      </w:pPr>
      <w:r w:rsidRPr="00B01DB3">
        <w:rPr>
          <w:rtl w:val="0"/>
          <w:lang w:val="en"/>
        </w:rPr>
        <w:t>The shareholders who, in accordance with the rules of the securities legislation of the Russian Federation, gave instructions (instructions) on voting to the persons registering their rights to the shares, shall also be deemed to have taken part in the Meeting if notices of their will are received not later than two days before the deadline for accepting ballots.</w:t>
      </w:r>
    </w:p>
    <w:p w:rsidR="00014B8F" w:rsidP="00014B8F">
      <w:pPr>
        <w:widowControl w:val="0"/>
        <w:bidi w:val="0"/>
        <w:ind w:firstLine="567"/>
        <w:jc w:val="both"/>
      </w:pPr>
      <w:r w:rsidRPr="00B01DB3">
        <w:rPr>
          <w:rtl w:val="0"/>
          <w:lang w:val="en"/>
        </w:rPr>
        <w:t>5. Instruct the Sole Executive Body of the Company to ensure that voting ballots are sent to the Company's shareholders in accordance with this resolution.</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014B8F">
            <w:pPr>
              <w:pStyle w:val="BodyText"/>
              <w:widowControl w:val="0"/>
              <w:bidi w:val="0"/>
              <w:ind w:right="-41"/>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V.A. Kapitonov</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E.V. Prokhorov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M.V. Korotkova</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V.V. Rozhkov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K.A. Mikhailik</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B.B. Ebzeev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375C7D" w:rsidP="00FE047E">
      <w:pPr>
        <w:tabs>
          <w:tab w:val="left" w:pos="540"/>
          <w:tab w:val="left" w:pos="1134"/>
        </w:tabs>
        <w:jc w:val="both"/>
        <w:rPr>
          <w:b/>
          <w:color w:val="000000" w:themeColor="text1"/>
        </w:rPr>
      </w:pPr>
    </w:p>
    <w:p w:rsidR="00014B8F" w:rsidRPr="00B01DB3" w:rsidP="00014B8F">
      <w:pPr>
        <w:bidi w:val="0"/>
        <w:jc w:val="both"/>
        <w:rPr>
          <w:b/>
          <w:bCs/>
        </w:rPr>
      </w:pPr>
      <w:r w:rsidRPr="00B01DB3">
        <w:rPr>
          <w:b/>
          <w:caps/>
          <w:rtl w:val="0"/>
          <w:lang w:val="en"/>
        </w:rPr>
        <w:t xml:space="preserve">Item No. 4: </w:t>
      </w:r>
      <w:r w:rsidRPr="00B01DB3">
        <w:rPr>
          <w:b/>
          <w:rtl w:val="0"/>
          <w:lang w:val="en"/>
        </w:rPr>
        <w:t>On approving the terms and conditions of the contract with the Company's registrar.</w:t>
      </w:r>
    </w:p>
    <w:p w:rsidR="00014B8F" w:rsidRPr="00B01DB3" w:rsidP="00014B8F">
      <w:pPr>
        <w:bidi w:val="0"/>
        <w:jc w:val="both"/>
        <w:rPr>
          <w:b/>
        </w:rPr>
      </w:pPr>
      <w:r w:rsidRPr="00B01DB3">
        <w:rPr>
          <w:b/>
          <w:rtl w:val="0"/>
          <w:lang w:val="en"/>
        </w:rPr>
        <w:t>RESOLUTION:</w:t>
      </w:r>
    </w:p>
    <w:p w:rsidR="00014B8F" w:rsidRPr="00B01DB3" w:rsidP="00014B8F">
      <w:pPr>
        <w:bidi w:val="0"/>
        <w:ind w:right="-2" w:firstLine="567"/>
        <w:jc w:val="both"/>
      </w:pPr>
      <w:r w:rsidRPr="00B01DB3">
        <w:rPr>
          <w:rtl w:val="0"/>
          <w:lang w:val="en"/>
        </w:rPr>
        <w:t>1. Approve the terms of the agreement for provision of services for organizing, convening and holding a General Meeting of Securities Holders, including performing the functions of the counting commission, and mailing materials (in absentia), in accordance with Annex No. 3 to this Resolution of the Company’s Board of Directors.</w:t>
      </w:r>
    </w:p>
    <w:p w:rsidR="00014B8F" w:rsidRPr="00B01DB3" w:rsidP="00014B8F">
      <w:pPr>
        <w:widowControl w:val="0"/>
        <w:bidi w:val="0"/>
        <w:ind w:firstLine="567"/>
        <w:jc w:val="both"/>
      </w:pPr>
      <w:r w:rsidRPr="00B01DB3">
        <w:rPr>
          <w:rtl w:val="0"/>
          <w:lang w:val="en"/>
        </w:rPr>
        <w:t>2. Instruct the General Director of the Company to sign an agreement for provision of services for organizing, convening and holding a General Meeting of Securities Holders, including performing the functions of the counting commission, and mailing materials (in absentia), in accordance with Annex No. 3 to this Resolution of the Company’s Board of Directors.</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3C06BF">
            <w:pPr>
              <w:pStyle w:val="BodyText"/>
              <w:widowControl w:val="0"/>
              <w:bidi w:val="0"/>
              <w:ind w:right="-41"/>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2957AE" w:rsidP="002957AE">
      <w:pPr>
        <w:pStyle w:val="BodyText"/>
        <w:widowControl w:val="0"/>
        <w:tabs>
          <w:tab w:val="left" w:pos="709"/>
        </w:tabs>
        <w:contextualSpacing/>
        <w:jc w:val="both"/>
        <w:rPr>
          <w:bCs/>
          <w:szCs w:val="28"/>
        </w:rPr>
      </w:pPr>
    </w:p>
    <w:p w:rsidR="002957AE" w:rsidP="002957AE">
      <w:pPr>
        <w:widowControl w:val="0"/>
        <w:suppressAutoHyphens/>
        <w:rPr>
          <w:b/>
        </w:rPr>
      </w:pPr>
    </w:p>
    <w:p w:rsidR="00014B8F" w:rsidRPr="00B01DB3" w:rsidP="00014B8F">
      <w:pPr>
        <w:bidi w:val="0"/>
        <w:jc w:val="both"/>
        <w:rPr>
          <w:b/>
          <w:bCs/>
        </w:rPr>
      </w:pPr>
      <w:r w:rsidRPr="00B01DB3">
        <w:rPr>
          <w:b/>
          <w:caps/>
          <w:rtl w:val="0"/>
          <w:lang w:val="en"/>
        </w:rPr>
        <w:t>Item No. 5:</w:t>
      </w:r>
      <w:r w:rsidRPr="00B01DB3">
        <w:rPr>
          <w:b/>
          <w:rtl w:val="0"/>
          <w:lang w:val="en"/>
        </w:rPr>
        <w:t xml:space="preserve"> On approval of the cost estimates related to preparation and holding of the Extraordinary General Meeting of Shareholders of the Company.</w:t>
      </w:r>
    </w:p>
    <w:p w:rsidR="00014B8F" w:rsidRPr="00B01DB3" w:rsidP="00014B8F">
      <w:pPr>
        <w:bidi w:val="0"/>
        <w:jc w:val="both"/>
        <w:rPr>
          <w:b/>
        </w:rPr>
      </w:pPr>
      <w:r w:rsidRPr="00B01DB3">
        <w:rPr>
          <w:b/>
          <w:rtl w:val="0"/>
          <w:lang w:val="en"/>
        </w:rPr>
        <w:t>RESOLUTION:</w:t>
      </w:r>
    </w:p>
    <w:p w:rsidR="00014B8F" w:rsidRPr="00B01DB3" w:rsidP="00014B8F">
      <w:pPr>
        <w:widowControl w:val="0"/>
        <w:bidi w:val="0"/>
        <w:ind w:firstLine="567"/>
        <w:jc w:val="both"/>
        <w:rPr>
          <w:bCs/>
        </w:rPr>
      </w:pPr>
      <w:r w:rsidRPr="00B01DB3">
        <w:rPr>
          <w:bCs/>
          <w:rtl w:val="0"/>
          <w:lang w:val="en"/>
        </w:rPr>
        <w:t>1. Approve the cost estimates related to preparation and holding of the Extraordinary General Meeting of Shareholders of the Company as per Annex 4 hereto.</w:t>
      </w:r>
    </w:p>
    <w:p w:rsidR="00014B8F" w:rsidRPr="00B01DB3" w:rsidP="00014B8F">
      <w:pPr>
        <w:widowControl w:val="0"/>
        <w:bidi w:val="0"/>
        <w:ind w:firstLine="567"/>
        <w:jc w:val="both"/>
        <w:rPr>
          <w:bCs/>
        </w:rPr>
      </w:pPr>
      <w:r w:rsidRPr="00B01DB3">
        <w:rPr>
          <w:bCs/>
          <w:rtl w:val="0"/>
          <w:lang w:val="en"/>
        </w:rPr>
        <w:t>2. The General Director of the Company shall submit to the Company's Board of Directors the report on the expenditure of funds for preparation and holding of the Extraordinary General Meeting of Shareholders of the Company not later than two months after the Extraordinary General Meeting of Shareholders of the Company as per Annex 5 hereto.</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E92F6A">
            <w:pPr>
              <w:pStyle w:val="BodyText"/>
              <w:widowControl w:val="0"/>
              <w:bidi w:val="0"/>
              <w:ind w:right="-41"/>
              <w:rPr>
                <w:b/>
                <w:bCs/>
                <w:sz w:val="24"/>
                <w:szCs w:val="24"/>
              </w:rPr>
            </w:pPr>
            <w:r w:rsidRPr="00B36DD3">
              <w:rPr>
                <w:b/>
                <w:bCs/>
                <w:sz w:val="24"/>
                <w:szCs w:val="24"/>
                <w:rtl w:val="0"/>
                <w:lang w:val="en"/>
              </w:rPr>
              <w:t>"ABSTAINED"</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014B8F" w:rsidP="00FE047E">
      <w:pPr>
        <w:tabs>
          <w:tab w:val="left" w:pos="540"/>
          <w:tab w:val="left" w:pos="1134"/>
        </w:tabs>
        <w:jc w:val="both"/>
        <w:rPr>
          <w:b/>
          <w:color w:val="000000" w:themeColor="text1"/>
        </w:rPr>
      </w:pPr>
    </w:p>
    <w:p w:rsidR="00405ACE" w:rsidP="00FE047E">
      <w:pPr>
        <w:tabs>
          <w:tab w:val="left" w:pos="540"/>
          <w:tab w:val="left" w:pos="1134"/>
        </w:tabs>
        <w:jc w:val="both"/>
        <w:rPr>
          <w:b/>
          <w:color w:val="000000" w:themeColor="text1"/>
        </w:rPr>
      </w:pPr>
    </w:p>
    <w:p w:rsidR="001639D0"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405ACE">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105873">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6253C99"/>
    <w:multiLevelType w:val="hybridMultilevel"/>
    <w:tmpl w:val="EB023B1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5">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4"/>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B8F"/>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43"/>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803"/>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87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9D0"/>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151"/>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BF"/>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78E"/>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5ACE"/>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0973"/>
    <w:rsid w:val="00431349"/>
    <w:rsid w:val="004315E0"/>
    <w:rsid w:val="004319CE"/>
    <w:rsid w:val="00431E13"/>
    <w:rsid w:val="0043256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2AE"/>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621"/>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B92"/>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C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30C"/>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C3E"/>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826"/>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316"/>
    <w:rsid w:val="00A3669C"/>
    <w:rsid w:val="00A36DE7"/>
    <w:rsid w:val="00A36EC1"/>
    <w:rsid w:val="00A40BB3"/>
    <w:rsid w:val="00A40DEC"/>
    <w:rsid w:val="00A410BD"/>
    <w:rsid w:val="00A41271"/>
    <w:rsid w:val="00A42849"/>
    <w:rsid w:val="00A428C8"/>
    <w:rsid w:val="00A42A93"/>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D34"/>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1DB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1EE2"/>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6A"/>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5CD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191"/>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405"/>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4415-6A41-44FB-893C-9ACC261B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cp:revision>
  <cp:lastPrinted>2021-07-26T07:49:00Z</cp:lastPrinted>
  <dcterms:created xsi:type="dcterms:W3CDTF">2021-08-11T11:49:00Z</dcterms:created>
  <dcterms:modified xsi:type="dcterms:W3CDTF">2021-11-29T13:30:00Z</dcterms:modified>
</cp:coreProperties>
</file>